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81D6DD" w14:textId="77777777" w:rsidR="00C555F1" w:rsidRDefault="00C555F1" w:rsidP="00C555F1">
      <w:pPr>
        <w:spacing w:before="100" w:beforeAutospacing="1" w:after="100" w:afterAutospacing="1" w:line="683" w:lineRule="atLeast"/>
        <w:outlineLvl w:val="0"/>
        <w:rPr>
          <w:rFonts w:ascii="Open Sans" w:eastAsia="Times New Roman" w:hAnsi="Open Sans" w:cs="Open Sans"/>
          <w:b/>
          <w:bCs/>
          <w:color w:val="1E88B5"/>
          <w:kern w:val="36"/>
          <w:sz w:val="48"/>
          <w:szCs w:val="48"/>
          <w:lang w:val="en-US" w:eastAsia="es-PE"/>
          <w14:ligatures w14:val="none"/>
        </w:rPr>
      </w:pPr>
      <w:r w:rsidRPr="00C555F1">
        <w:rPr>
          <w:rFonts w:ascii="Open Sans" w:eastAsia="Times New Roman" w:hAnsi="Open Sans" w:cs="Open Sans"/>
          <w:b/>
          <w:bCs/>
          <w:color w:val="1E88B5"/>
          <w:kern w:val="36"/>
          <w:sz w:val="48"/>
          <w:szCs w:val="48"/>
          <w:lang w:val="en-US" w:eastAsia="es-PE"/>
          <w14:ligatures w14:val="none"/>
        </w:rPr>
        <w:t>Where are we in the search for new protein sources used in aquafeeds? IFFO comments on a new major review</w:t>
      </w:r>
    </w:p>
    <w:p w14:paraId="29533429" w14:textId="5776CDEA" w:rsidR="00C555F1" w:rsidRPr="00C555F1" w:rsidRDefault="00C555F1" w:rsidP="00C555F1">
      <w:pPr>
        <w:spacing w:before="100" w:beforeAutospacing="1" w:after="100" w:afterAutospacing="1" w:line="683" w:lineRule="atLeast"/>
        <w:outlineLvl w:val="0"/>
        <w:rPr>
          <w:rFonts w:ascii="Open Sans" w:eastAsia="Times New Roman" w:hAnsi="Open Sans" w:cs="Open Sans"/>
          <w:b/>
          <w:bCs/>
          <w:kern w:val="36"/>
          <w:sz w:val="24"/>
          <w:szCs w:val="24"/>
          <w:lang w:val="en-US" w:eastAsia="es-PE"/>
          <w14:ligatures w14:val="none"/>
        </w:rPr>
      </w:pPr>
      <w:r w:rsidRPr="00C555F1">
        <w:rPr>
          <w:rFonts w:ascii="Open Sans" w:eastAsia="Times New Roman" w:hAnsi="Open Sans" w:cs="Open Sans"/>
          <w:b/>
          <w:bCs/>
          <w:kern w:val="36"/>
          <w:sz w:val="24"/>
          <w:szCs w:val="24"/>
          <w:lang w:val="en-US" w:eastAsia="es-PE"/>
          <w14:ligatures w14:val="none"/>
        </w:rPr>
        <w:t>https://www.iffo.com/where-are-we-search-new-protein-sources-used-aquafeeds-iffo-comments-new-major-review</w:t>
      </w:r>
    </w:p>
    <w:p w14:paraId="701CD524" w14:textId="77777777" w:rsidR="00C555F1" w:rsidRPr="00C555F1" w:rsidRDefault="00C555F1" w:rsidP="00C555F1">
      <w:pPr>
        <w:spacing w:before="100" w:beforeAutospacing="1" w:after="100" w:afterAutospacing="1" w:line="420" w:lineRule="atLeast"/>
        <w:rPr>
          <w:rFonts w:ascii="Open Sans" w:eastAsia="Times New Roman" w:hAnsi="Open Sans" w:cs="Open Sans"/>
          <w:color w:val="30383C"/>
          <w:kern w:val="0"/>
          <w:sz w:val="29"/>
          <w:szCs w:val="29"/>
          <w:lang w:val="en-US" w:eastAsia="es-PE"/>
          <w14:ligatures w14:val="none"/>
        </w:rPr>
      </w:pPr>
      <w:r w:rsidRPr="00C555F1">
        <w:rPr>
          <w:rFonts w:ascii="Open Sans" w:eastAsia="Times New Roman" w:hAnsi="Open Sans" w:cs="Open Sans"/>
          <w:color w:val="30383C"/>
          <w:kern w:val="0"/>
          <w:sz w:val="29"/>
          <w:szCs w:val="29"/>
          <w:lang w:val="en-US" w:eastAsia="es-PE"/>
          <w14:ligatures w14:val="none"/>
        </w:rPr>
        <w:t>The leading scientific journal in fisheries science, Reviews in Fisheries Science and Aquaculture, has just published a </w:t>
      </w:r>
      <w:hyperlink r:id="rId5" w:history="1">
        <w:r w:rsidRPr="00C555F1">
          <w:rPr>
            <w:rFonts w:ascii="Open Sans" w:eastAsia="Times New Roman" w:hAnsi="Open Sans" w:cs="Open Sans"/>
            <w:color w:val="1E88B5"/>
            <w:kern w:val="0"/>
            <w:sz w:val="29"/>
            <w:szCs w:val="29"/>
            <w:lang w:val="en-US" w:eastAsia="es-PE"/>
            <w14:ligatures w14:val="none"/>
          </w:rPr>
          <w:t>review</w:t>
        </w:r>
      </w:hyperlink>
      <w:r w:rsidRPr="00C555F1">
        <w:rPr>
          <w:rFonts w:ascii="Open Sans" w:eastAsia="Times New Roman" w:hAnsi="Open Sans" w:cs="Open Sans"/>
          <w:color w:val="30383C"/>
          <w:kern w:val="0"/>
          <w:sz w:val="29"/>
          <w:szCs w:val="29"/>
          <w:lang w:val="en-US" w:eastAsia="es-PE"/>
          <w14:ligatures w14:val="none"/>
        </w:rPr>
        <w:t> led by IFFO’s Technical director, Dr Brett Glencross, and a cohort of world renowned fish nutritionists*. With a variety of new feed ingredients emerging in the aquaculture feed sector, the publication provides some sobering assessments of where we are in the search for new protein sources.</w:t>
      </w:r>
    </w:p>
    <w:p w14:paraId="1D29C5C2" w14:textId="77777777" w:rsidR="00C555F1" w:rsidRPr="00C555F1" w:rsidRDefault="00C555F1" w:rsidP="00C555F1">
      <w:pPr>
        <w:spacing w:before="100" w:beforeAutospacing="1" w:after="100" w:afterAutospacing="1" w:line="420" w:lineRule="atLeast"/>
        <w:rPr>
          <w:rFonts w:ascii="Open Sans" w:eastAsia="Times New Roman" w:hAnsi="Open Sans" w:cs="Open Sans"/>
          <w:color w:val="30383C"/>
          <w:kern w:val="0"/>
          <w:sz w:val="29"/>
          <w:szCs w:val="29"/>
          <w:lang w:val="en-US" w:eastAsia="es-PE"/>
          <w14:ligatures w14:val="none"/>
        </w:rPr>
      </w:pPr>
      <w:r w:rsidRPr="00C555F1">
        <w:rPr>
          <w:rFonts w:ascii="Open Sans" w:eastAsia="Times New Roman" w:hAnsi="Open Sans" w:cs="Open Sans"/>
          <w:b/>
          <w:bCs/>
          <w:color w:val="30383C"/>
          <w:kern w:val="0"/>
          <w:sz w:val="29"/>
          <w:szCs w:val="29"/>
          <w:lang w:val="en-US" w:eastAsia="es-PE"/>
          <w14:ligatures w14:val="none"/>
        </w:rPr>
        <w:t>A large variety of protein sources</w:t>
      </w:r>
    </w:p>
    <w:p w14:paraId="66946ABB" w14:textId="77777777" w:rsidR="00C555F1" w:rsidRPr="00C555F1" w:rsidRDefault="00C555F1" w:rsidP="00C555F1">
      <w:pPr>
        <w:spacing w:before="100" w:beforeAutospacing="1" w:after="100" w:afterAutospacing="1" w:line="420" w:lineRule="atLeast"/>
        <w:rPr>
          <w:rFonts w:ascii="Open Sans" w:eastAsia="Times New Roman" w:hAnsi="Open Sans" w:cs="Open Sans"/>
          <w:color w:val="30383C"/>
          <w:kern w:val="0"/>
          <w:sz w:val="29"/>
          <w:szCs w:val="29"/>
          <w:lang w:eastAsia="es-PE"/>
          <w14:ligatures w14:val="none"/>
        </w:rPr>
      </w:pPr>
      <w:r w:rsidRPr="00C555F1">
        <w:rPr>
          <w:rFonts w:ascii="Open Sans" w:eastAsia="Times New Roman" w:hAnsi="Open Sans" w:cs="Open Sans"/>
          <w:b/>
          <w:bCs/>
          <w:noProof/>
          <w:color w:val="30383C"/>
          <w:kern w:val="0"/>
          <w:sz w:val="29"/>
          <w:szCs w:val="29"/>
          <w:lang w:eastAsia="es-PE"/>
          <w14:ligatures w14:val="none"/>
        </w:rPr>
        <w:drawing>
          <wp:inline distT="0" distB="0" distL="0" distR="0" wp14:anchorId="3E76D1C8" wp14:editId="55C5DCA4">
            <wp:extent cx="4103934" cy="2308463"/>
            <wp:effectExtent l="0" t="0" r="0" b="0"/>
            <wp:docPr id="5" name="Imagen 4" descr="prot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ote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31553" cy="2323999"/>
                    </a:xfrm>
                    <a:prstGeom prst="rect">
                      <a:avLst/>
                    </a:prstGeom>
                    <a:noFill/>
                    <a:ln>
                      <a:noFill/>
                    </a:ln>
                  </pic:spPr>
                </pic:pic>
              </a:graphicData>
            </a:graphic>
          </wp:inline>
        </w:drawing>
      </w:r>
    </w:p>
    <w:p w14:paraId="66CF7E2B" w14:textId="77777777" w:rsidR="00C555F1" w:rsidRPr="00C555F1" w:rsidRDefault="00C555F1" w:rsidP="00C555F1">
      <w:pPr>
        <w:spacing w:before="100" w:beforeAutospacing="1" w:after="100" w:afterAutospacing="1" w:line="420" w:lineRule="atLeast"/>
        <w:rPr>
          <w:rFonts w:ascii="Open Sans" w:eastAsia="Times New Roman" w:hAnsi="Open Sans" w:cs="Open Sans"/>
          <w:color w:val="30383C"/>
          <w:kern w:val="0"/>
          <w:sz w:val="29"/>
          <w:szCs w:val="29"/>
          <w:lang w:val="en-US" w:eastAsia="es-PE"/>
          <w14:ligatures w14:val="none"/>
        </w:rPr>
      </w:pPr>
      <w:r w:rsidRPr="00C555F1">
        <w:rPr>
          <w:rFonts w:ascii="Open Sans" w:eastAsia="Times New Roman" w:hAnsi="Open Sans" w:cs="Open Sans"/>
          <w:color w:val="30383C"/>
          <w:kern w:val="0"/>
          <w:sz w:val="29"/>
          <w:szCs w:val="29"/>
          <w:lang w:val="en-US" w:eastAsia="es-PE"/>
          <w14:ligatures w14:val="none"/>
        </w:rPr>
        <w:t xml:space="preserve">The review considers a large variety of protein sources used in aquafeeds: marine ingredients (produced from either forage fishery </w:t>
      </w:r>
      <w:r w:rsidRPr="00C555F1">
        <w:rPr>
          <w:rFonts w:ascii="Open Sans" w:eastAsia="Times New Roman" w:hAnsi="Open Sans" w:cs="Open Sans"/>
          <w:color w:val="30383C"/>
          <w:kern w:val="0"/>
          <w:sz w:val="29"/>
          <w:szCs w:val="29"/>
          <w:lang w:val="en-US" w:eastAsia="es-PE"/>
          <w14:ligatures w14:val="none"/>
        </w:rPr>
        <w:lastRenderedPageBreak/>
        <w:t>or by-products from both fishery and aquaculture resources), processed animal proteins (made from terrestrial animals produced for human consumption from which by-products are generated, and also insect and worm meals), single-cell protein resources (produced from bacterial, yeast, fungal, or microalgal origins), grain protein sources (making up the largest volume of all global aquafeeds) such as cereals, oilseeds, pulses, including those plant resources used either unmodified, or with varying degrees of processing.</w:t>
      </w:r>
    </w:p>
    <w:p w14:paraId="41282996" w14:textId="77777777" w:rsidR="00C555F1" w:rsidRPr="00C555F1" w:rsidRDefault="00C555F1" w:rsidP="00C555F1">
      <w:pPr>
        <w:spacing w:before="100" w:beforeAutospacing="1" w:after="100" w:afterAutospacing="1" w:line="420" w:lineRule="atLeast"/>
        <w:rPr>
          <w:rFonts w:ascii="Open Sans" w:eastAsia="Times New Roman" w:hAnsi="Open Sans" w:cs="Open Sans"/>
          <w:color w:val="30383C"/>
          <w:kern w:val="0"/>
          <w:sz w:val="29"/>
          <w:szCs w:val="29"/>
          <w:lang w:val="en-US" w:eastAsia="es-PE"/>
          <w14:ligatures w14:val="none"/>
        </w:rPr>
      </w:pPr>
      <w:r w:rsidRPr="00C555F1">
        <w:rPr>
          <w:rFonts w:ascii="Open Sans" w:eastAsia="Times New Roman" w:hAnsi="Open Sans" w:cs="Open Sans"/>
          <w:b/>
          <w:bCs/>
          <w:color w:val="30383C"/>
          <w:kern w:val="0"/>
          <w:sz w:val="29"/>
          <w:szCs w:val="29"/>
          <w:lang w:val="en-US" w:eastAsia="es-PE"/>
          <w14:ligatures w14:val="none"/>
        </w:rPr>
        <w:t xml:space="preserve">No perfect ingredient: complementarity is the way </w:t>
      </w:r>
      <w:proofErr w:type="gramStart"/>
      <w:r w:rsidRPr="00C555F1">
        <w:rPr>
          <w:rFonts w:ascii="Open Sans" w:eastAsia="Times New Roman" w:hAnsi="Open Sans" w:cs="Open Sans"/>
          <w:b/>
          <w:bCs/>
          <w:color w:val="30383C"/>
          <w:kern w:val="0"/>
          <w:sz w:val="29"/>
          <w:szCs w:val="29"/>
          <w:lang w:val="en-US" w:eastAsia="es-PE"/>
          <w14:ligatures w14:val="none"/>
        </w:rPr>
        <w:t>forward</w:t>
      </w:r>
      <w:proofErr w:type="gramEnd"/>
    </w:p>
    <w:p w14:paraId="3CD043E6" w14:textId="77777777" w:rsidR="00C555F1" w:rsidRPr="00C555F1" w:rsidRDefault="00C555F1" w:rsidP="00C555F1">
      <w:pPr>
        <w:spacing w:before="100" w:beforeAutospacing="1" w:after="100" w:afterAutospacing="1" w:line="420" w:lineRule="atLeast"/>
        <w:rPr>
          <w:rFonts w:ascii="Open Sans" w:eastAsia="Times New Roman" w:hAnsi="Open Sans" w:cs="Open Sans"/>
          <w:color w:val="30383C"/>
          <w:kern w:val="0"/>
          <w:sz w:val="29"/>
          <w:szCs w:val="29"/>
          <w:lang w:val="en-US" w:eastAsia="es-PE"/>
          <w14:ligatures w14:val="none"/>
        </w:rPr>
      </w:pPr>
      <w:r w:rsidRPr="00C555F1">
        <w:rPr>
          <w:rFonts w:ascii="Open Sans" w:eastAsia="Times New Roman" w:hAnsi="Open Sans" w:cs="Open Sans"/>
          <w:color w:val="30383C"/>
          <w:kern w:val="0"/>
          <w:sz w:val="29"/>
          <w:szCs w:val="29"/>
          <w:lang w:val="en-US" w:eastAsia="es-PE"/>
          <w14:ligatures w14:val="none"/>
        </w:rPr>
        <w:t>“</w:t>
      </w:r>
      <w:r w:rsidRPr="00C555F1">
        <w:rPr>
          <w:rFonts w:ascii="Open Sans" w:eastAsia="Times New Roman" w:hAnsi="Open Sans" w:cs="Open Sans"/>
          <w:i/>
          <w:iCs/>
          <w:color w:val="30383C"/>
          <w:kern w:val="0"/>
          <w:sz w:val="29"/>
          <w:szCs w:val="29"/>
          <w:lang w:val="en-US" w:eastAsia="es-PE"/>
          <w14:ligatures w14:val="none"/>
        </w:rPr>
        <w:t>The assessment demonstrates that every ingredient has strengths and weaknesses. In many cases, the weaknesses of one ingredient can be matched with the strengths of other ingredients to identify opportunities for complementarity</w:t>
      </w:r>
      <w:r w:rsidRPr="00C555F1">
        <w:rPr>
          <w:rFonts w:ascii="Open Sans" w:eastAsia="Times New Roman" w:hAnsi="Open Sans" w:cs="Open Sans"/>
          <w:color w:val="30383C"/>
          <w:kern w:val="0"/>
          <w:sz w:val="29"/>
          <w:szCs w:val="29"/>
          <w:lang w:val="en-US" w:eastAsia="es-PE"/>
          <w14:ligatures w14:val="none"/>
        </w:rPr>
        <w:t>”, Dr Brett Glencross explains. For example, soybean has the scale and stability of supply and consistency of product quality but lacks palatability for many species. Fishmeal though is limited in supply but has excellent palatability characteristics. They both work well with each other in a highly complementary nature.</w:t>
      </w:r>
    </w:p>
    <w:p w14:paraId="1CC99151" w14:textId="77777777" w:rsidR="00C555F1" w:rsidRPr="00C555F1" w:rsidRDefault="00C555F1" w:rsidP="00C555F1">
      <w:pPr>
        <w:spacing w:before="100" w:beforeAutospacing="1" w:after="100" w:afterAutospacing="1" w:line="420" w:lineRule="atLeast"/>
        <w:rPr>
          <w:rFonts w:ascii="Open Sans" w:eastAsia="Times New Roman" w:hAnsi="Open Sans" w:cs="Open Sans"/>
          <w:color w:val="30383C"/>
          <w:kern w:val="0"/>
          <w:sz w:val="29"/>
          <w:szCs w:val="29"/>
          <w:lang w:val="en-US" w:eastAsia="es-PE"/>
          <w14:ligatures w14:val="none"/>
        </w:rPr>
      </w:pPr>
      <w:r w:rsidRPr="00C555F1">
        <w:rPr>
          <w:rFonts w:ascii="Open Sans" w:eastAsia="Times New Roman" w:hAnsi="Open Sans" w:cs="Open Sans"/>
          <w:b/>
          <w:bCs/>
          <w:color w:val="30383C"/>
          <w:kern w:val="0"/>
          <w:sz w:val="29"/>
          <w:szCs w:val="29"/>
          <w:lang w:val="en-US" w:eastAsia="es-PE"/>
          <w14:ligatures w14:val="none"/>
        </w:rPr>
        <w:t>What is on the horizon?</w:t>
      </w:r>
    </w:p>
    <w:p w14:paraId="7BD8A431" w14:textId="77777777" w:rsidR="00C555F1" w:rsidRPr="00C555F1" w:rsidRDefault="00C555F1" w:rsidP="00C555F1">
      <w:pPr>
        <w:spacing w:before="100" w:beforeAutospacing="1" w:after="100" w:afterAutospacing="1" w:line="420" w:lineRule="atLeast"/>
        <w:rPr>
          <w:rFonts w:ascii="Open Sans" w:eastAsia="Times New Roman" w:hAnsi="Open Sans" w:cs="Open Sans"/>
          <w:color w:val="30383C"/>
          <w:kern w:val="0"/>
          <w:sz w:val="29"/>
          <w:szCs w:val="29"/>
          <w:lang w:val="en-US" w:eastAsia="es-PE"/>
          <w14:ligatures w14:val="none"/>
        </w:rPr>
      </w:pPr>
      <w:r w:rsidRPr="00C555F1">
        <w:rPr>
          <w:rFonts w:ascii="Open Sans" w:eastAsia="Times New Roman" w:hAnsi="Open Sans" w:cs="Open Sans"/>
          <w:color w:val="30383C"/>
          <w:kern w:val="0"/>
          <w:sz w:val="29"/>
          <w:szCs w:val="29"/>
          <w:lang w:val="en-US" w:eastAsia="es-PE"/>
          <w14:ligatures w14:val="none"/>
        </w:rPr>
        <w:t>The review provided a series of clear options going forward to improve feed security:</w:t>
      </w:r>
    </w:p>
    <w:p w14:paraId="411FEEDA" w14:textId="77777777" w:rsidR="00C555F1" w:rsidRPr="00C555F1" w:rsidRDefault="00C555F1" w:rsidP="00C555F1">
      <w:pPr>
        <w:numPr>
          <w:ilvl w:val="0"/>
          <w:numId w:val="2"/>
        </w:numPr>
        <w:spacing w:after="0" w:line="420" w:lineRule="atLeast"/>
        <w:ind w:left="1765"/>
        <w:rPr>
          <w:rFonts w:ascii="Times New Roman" w:eastAsia="Times New Roman" w:hAnsi="Times New Roman" w:cs="Times New Roman"/>
          <w:color w:val="30383C"/>
          <w:kern w:val="0"/>
          <w:sz w:val="24"/>
          <w:szCs w:val="24"/>
          <w:lang w:val="en-US" w:eastAsia="es-PE"/>
          <w14:ligatures w14:val="none"/>
        </w:rPr>
      </w:pPr>
      <w:r w:rsidRPr="00C555F1">
        <w:rPr>
          <w:rFonts w:ascii="Times New Roman" w:eastAsia="Times New Roman" w:hAnsi="Times New Roman" w:cs="Times New Roman"/>
          <w:color w:val="30383C"/>
          <w:kern w:val="0"/>
          <w:sz w:val="24"/>
          <w:szCs w:val="24"/>
          <w:lang w:val="en-US" w:eastAsia="es-PE"/>
          <w14:ligatures w14:val="none"/>
        </w:rPr>
        <w:t xml:space="preserve">Improve management of existing resources to increase their </w:t>
      </w:r>
      <w:proofErr w:type="gramStart"/>
      <w:r w:rsidRPr="00C555F1">
        <w:rPr>
          <w:rFonts w:ascii="Times New Roman" w:eastAsia="Times New Roman" w:hAnsi="Times New Roman" w:cs="Times New Roman"/>
          <w:color w:val="30383C"/>
          <w:kern w:val="0"/>
          <w:sz w:val="24"/>
          <w:szCs w:val="24"/>
          <w:lang w:val="en-US" w:eastAsia="es-PE"/>
          <w14:ligatures w14:val="none"/>
        </w:rPr>
        <w:t>productivity</w:t>
      </w:r>
      <w:proofErr w:type="gramEnd"/>
    </w:p>
    <w:p w14:paraId="011AEF33" w14:textId="77777777" w:rsidR="00C555F1" w:rsidRPr="00C555F1" w:rsidRDefault="00C555F1" w:rsidP="00C555F1">
      <w:pPr>
        <w:numPr>
          <w:ilvl w:val="0"/>
          <w:numId w:val="2"/>
        </w:numPr>
        <w:spacing w:after="0" w:line="420" w:lineRule="atLeast"/>
        <w:ind w:left="1765"/>
        <w:rPr>
          <w:rFonts w:ascii="Times New Roman" w:eastAsia="Times New Roman" w:hAnsi="Times New Roman" w:cs="Times New Roman"/>
          <w:color w:val="30383C"/>
          <w:kern w:val="0"/>
          <w:sz w:val="24"/>
          <w:szCs w:val="24"/>
          <w:lang w:eastAsia="es-PE"/>
          <w14:ligatures w14:val="none"/>
        </w:rPr>
      </w:pPr>
      <w:proofErr w:type="spellStart"/>
      <w:r w:rsidRPr="00C555F1">
        <w:rPr>
          <w:rFonts w:ascii="Times New Roman" w:eastAsia="Times New Roman" w:hAnsi="Times New Roman" w:cs="Times New Roman"/>
          <w:color w:val="30383C"/>
          <w:kern w:val="0"/>
          <w:sz w:val="24"/>
          <w:szCs w:val="24"/>
          <w:lang w:eastAsia="es-PE"/>
          <w14:ligatures w14:val="none"/>
        </w:rPr>
        <w:t>Ensure</w:t>
      </w:r>
      <w:proofErr w:type="spellEnd"/>
      <w:r w:rsidRPr="00C555F1">
        <w:rPr>
          <w:rFonts w:ascii="Times New Roman" w:eastAsia="Times New Roman" w:hAnsi="Times New Roman" w:cs="Times New Roman"/>
          <w:color w:val="30383C"/>
          <w:kern w:val="0"/>
          <w:sz w:val="24"/>
          <w:szCs w:val="24"/>
          <w:lang w:eastAsia="es-PE"/>
          <w14:ligatures w14:val="none"/>
        </w:rPr>
        <w:t xml:space="preserve"> </w:t>
      </w:r>
      <w:proofErr w:type="spellStart"/>
      <w:r w:rsidRPr="00C555F1">
        <w:rPr>
          <w:rFonts w:ascii="Times New Roman" w:eastAsia="Times New Roman" w:hAnsi="Times New Roman" w:cs="Times New Roman"/>
          <w:color w:val="30383C"/>
          <w:kern w:val="0"/>
          <w:sz w:val="24"/>
          <w:szCs w:val="24"/>
          <w:lang w:eastAsia="es-PE"/>
          <w14:ligatures w14:val="none"/>
        </w:rPr>
        <w:t>nothing</w:t>
      </w:r>
      <w:proofErr w:type="spellEnd"/>
      <w:r w:rsidRPr="00C555F1">
        <w:rPr>
          <w:rFonts w:ascii="Times New Roman" w:eastAsia="Times New Roman" w:hAnsi="Times New Roman" w:cs="Times New Roman"/>
          <w:color w:val="30383C"/>
          <w:kern w:val="0"/>
          <w:sz w:val="24"/>
          <w:szCs w:val="24"/>
          <w:lang w:eastAsia="es-PE"/>
          <w14:ligatures w14:val="none"/>
        </w:rPr>
        <w:t xml:space="preserve"> </w:t>
      </w:r>
      <w:proofErr w:type="spellStart"/>
      <w:r w:rsidRPr="00C555F1">
        <w:rPr>
          <w:rFonts w:ascii="Times New Roman" w:eastAsia="Times New Roman" w:hAnsi="Times New Roman" w:cs="Times New Roman"/>
          <w:color w:val="30383C"/>
          <w:kern w:val="0"/>
          <w:sz w:val="24"/>
          <w:szCs w:val="24"/>
          <w:lang w:eastAsia="es-PE"/>
          <w14:ligatures w14:val="none"/>
        </w:rPr>
        <w:t>is</w:t>
      </w:r>
      <w:proofErr w:type="spellEnd"/>
      <w:r w:rsidRPr="00C555F1">
        <w:rPr>
          <w:rFonts w:ascii="Times New Roman" w:eastAsia="Times New Roman" w:hAnsi="Times New Roman" w:cs="Times New Roman"/>
          <w:color w:val="30383C"/>
          <w:kern w:val="0"/>
          <w:sz w:val="24"/>
          <w:szCs w:val="24"/>
          <w:lang w:eastAsia="es-PE"/>
          <w14:ligatures w14:val="none"/>
        </w:rPr>
        <w:t xml:space="preserve"> </w:t>
      </w:r>
      <w:proofErr w:type="spellStart"/>
      <w:r w:rsidRPr="00C555F1">
        <w:rPr>
          <w:rFonts w:ascii="Times New Roman" w:eastAsia="Times New Roman" w:hAnsi="Times New Roman" w:cs="Times New Roman"/>
          <w:color w:val="30383C"/>
          <w:kern w:val="0"/>
          <w:sz w:val="24"/>
          <w:szCs w:val="24"/>
          <w:lang w:eastAsia="es-PE"/>
          <w14:ligatures w14:val="none"/>
        </w:rPr>
        <w:t>wasted</w:t>
      </w:r>
      <w:proofErr w:type="spellEnd"/>
    </w:p>
    <w:p w14:paraId="01572E61" w14:textId="77777777" w:rsidR="00C555F1" w:rsidRPr="00C555F1" w:rsidRDefault="00C555F1" w:rsidP="00C555F1">
      <w:pPr>
        <w:numPr>
          <w:ilvl w:val="0"/>
          <w:numId w:val="2"/>
        </w:numPr>
        <w:spacing w:after="0" w:line="420" w:lineRule="atLeast"/>
        <w:ind w:left="1765"/>
        <w:rPr>
          <w:rFonts w:ascii="Times New Roman" w:eastAsia="Times New Roman" w:hAnsi="Times New Roman" w:cs="Times New Roman"/>
          <w:color w:val="30383C"/>
          <w:kern w:val="0"/>
          <w:sz w:val="24"/>
          <w:szCs w:val="24"/>
          <w:lang w:val="en-US" w:eastAsia="es-PE"/>
          <w14:ligatures w14:val="none"/>
        </w:rPr>
      </w:pPr>
      <w:r w:rsidRPr="00C555F1">
        <w:rPr>
          <w:rFonts w:ascii="Times New Roman" w:eastAsia="Times New Roman" w:hAnsi="Times New Roman" w:cs="Times New Roman"/>
          <w:color w:val="30383C"/>
          <w:kern w:val="0"/>
          <w:sz w:val="24"/>
          <w:szCs w:val="24"/>
          <w:lang w:val="en-US" w:eastAsia="es-PE"/>
          <w14:ligatures w14:val="none"/>
        </w:rPr>
        <w:t>Further develop non-competing resource production</w:t>
      </w:r>
    </w:p>
    <w:p w14:paraId="089AF138" w14:textId="77777777" w:rsidR="00C555F1" w:rsidRPr="00C555F1" w:rsidRDefault="00C555F1" w:rsidP="00C555F1">
      <w:pPr>
        <w:spacing w:before="100" w:beforeAutospacing="1" w:after="100" w:afterAutospacing="1" w:line="420" w:lineRule="atLeast"/>
        <w:rPr>
          <w:rFonts w:ascii="Open Sans" w:eastAsia="Times New Roman" w:hAnsi="Open Sans" w:cs="Open Sans"/>
          <w:color w:val="30383C"/>
          <w:kern w:val="0"/>
          <w:sz w:val="29"/>
          <w:szCs w:val="29"/>
          <w:lang w:val="en-US" w:eastAsia="es-PE"/>
          <w14:ligatures w14:val="none"/>
        </w:rPr>
      </w:pPr>
      <w:r w:rsidRPr="00C555F1">
        <w:rPr>
          <w:rFonts w:ascii="Open Sans" w:eastAsia="Times New Roman" w:hAnsi="Open Sans" w:cs="Open Sans"/>
          <w:color w:val="30383C"/>
          <w:kern w:val="0"/>
          <w:sz w:val="29"/>
          <w:szCs w:val="29"/>
          <w:lang w:val="en-US" w:eastAsia="es-PE"/>
          <w14:ligatures w14:val="none"/>
        </w:rPr>
        <w:t xml:space="preserve">An important observation from the review was </w:t>
      </w:r>
      <w:proofErr w:type="gramStart"/>
      <w:r w:rsidRPr="00C555F1">
        <w:rPr>
          <w:rFonts w:ascii="Open Sans" w:eastAsia="Times New Roman" w:hAnsi="Open Sans" w:cs="Open Sans"/>
          <w:color w:val="30383C"/>
          <w:kern w:val="0"/>
          <w:sz w:val="29"/>
          <w:szCs w:val="29"/>
          <w:lang w:val="en-US" w:eastAsia="es-PE"/>
          <w14:ligatures w14:val="none"/>
        </w:rPr>
        <w:t>that,</w:t>
      </w:r>
      <w:proofErr w:type="gramEnd"/>
      <w:r w:rsidRPr="00C555F1">
        <w:rPr>
          <w:rFonts w:ascii="Open Sans" w:eastAsia="Times New Roman" w:hAnsi="Open Sans" w:cs="Open Sans"/>
          <w:color w:val="30383C"/>
          <w:kern w:val="0"/>
          <w:sz w:val="29"/>
          <w:szCs w:val="29"/>
          <w:lang w:val="en-US" w:eastAsia="es-PE"/>
          <w14:ligatures w14:val="none"/>
        </w:rPr>
        <w:t> “</w:t>
      </w:r>
      <w:r w:rsidRPr="00C555F1">
        <w:rPr>
          <w:rFonts w:ascii="Open Sans" w:eastAsia="Times New Roman" w:hAnsi="Open Sans" w:cs="Open Sans"/>
          <w:i/>
          <w:iCs/>
          <w:color w:val="30383C"/>
          <w:kern w:val="0"/>
          <w:sz w:val="29"/>
          <w:szCs w:val="29"/>
          <w:lang w:val="en-US" w:eastAsia="es-PE"/>
          <w14:ligatures w14:val="none"/>
        </w:rPr>
        <w:t xml:space="preserve">by better appreciating the positives and negatives of each ingredient, it becomes </w:t>
      </w:r>
      <w:r w:rsidRPr="00C555F1">
        <w:rPr>
          <w:rFonts w:ascii="Open Sans" w:eastAsia="Times New Roman" w:hAnsi="Open Sans" w:cs="Open Sans"/>
          <w:i/>
          <w:iCs/>
          <w:color w:val="30383C"/>
          <w:kern w:val="0"/>
          <w:sz w:val="29"/>
          <w:szCs w:val="29"/>
          <w:lang w:val="en-US" w:eastAsia="es-PE"/>
          <w14:ligatures w14:val="none"/>
        </w:rPr>
        <w:lastRenderedPageBreak/>
        <w:t>possible to increase our adaptability in responding to the various opportunities for their use in feeds and improve our sustainability of the sector moving forward</w:t>
      </w:r>
      <w:r w:rsidRPr="00C555F1">
        <w:rPr>
          <w:rFonts w:ascii="Open Sans" w:eastAsia="Times New Roman" w:hAnsi="Open Sans" w:cs="Open Sans"/>
          <w:color w:val="30383C"/>
          <w:kern w:val="0"/>
          <w:sz w:val="29"/>
          <w:szCs w:val="29"/>
          <w:lang w:val="en-US" w:eastAsia="es-PE"/>
          <w14:ligatures w14:val="none"/>
        </w:rPr>
        <w:t>” Glencross concluded. Overall, while technical progress in working with an increasing range of ingredients is making clear headway, the scale-up of new resources to delivering meaningful volumes still needs work.</w:t>
      </w:r>
    </w:p>
    <w:p w14:paraId="3B24B63D" w14:textId="77777777" w:rsidR="00C555F1" w:rsidRPr="00C555F1" w:rsidRDefault="00C555F1" w:rsidP="00C555F1">
      <w:pPr>
        <w:spacing w:after="0" w:line="240" w:lineRule="auto"/>
        <w:rPr>
          <w:rFonts w:ascii="Times New Roman" w:eastAsia="Times New Roman" w:hAnsi="Times New Roman" w:cs="Times New Roman"/>
          <w:kern w:val="0"/>
          <w:sz w:val="24"/>
          <w:szCs w:val="24"/>
          <w:lang w:eastAsia="es-PE"/>
          <w14:ligatures w14:val="none"/>
        </w:rPr>
      </w:pPr>
      <w:r w:rsidRPr="00C555F1">
        <w:rPr>
          <w:rFonts w:ascii="Times New Roman" w:eastAsia="Times New Roman" w:hAnsi="Times New Roman" w:cs="Times New Roman"/>
          <w:noProof/>
          <w:kern w:val="0"/>
          <w:sz w:val="24"/>
          <w:szCs w:val="24"/>
          <w:lang w:eastAsia="es-PE"/>
          <w14:ligatures w14:val="none"/>
        </w:rPr>
        <w:drawing>
          <wp:inline distT="0" distB="0" distL="0" distR="0" wp14:anchorId="05FE6D7F" wp14:editId="0CBB4EC6">
            <wp:extent cx="5724525" cy="3219450"/>
            <wp:effectExtent l="0" t="0" r="9525" b="0"/>
            <wp:docPr id="6" name="Imagen 3" descr="sw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w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4525" cy="3219450"/>
                    </a:xfrm>
                    <a:prstGeom prst="rect">
                      <a:avLst/>
                    </a:prstGeom>
                    <a:noFill/>
                    <a:ln>
                      <a:noFill/>
                    </a:ln>
                  </pic:spPr>
                </pic:pic>
              </a:graphicData>
            </a:graphic>
          </wp:inline>
        </w:drawing>
      </w:r>
    </w:p>
    <w:p w14:paraId="0A7018E7" w14:textId="77777777" w:rsidR="00C555F1" w:rsidRPr="00C555F1" w:rsidRDefault="00C555F1" w:rsidP="00C555F1">
      <w:pPr>
        <w:spacing w:before="100" w:beforeAutospacing="1" w:after="100" w:afterAutospacing="1" w:line="420" w:lineRule="atLeast"/>
        <w:rPr>
          <w:rFonts w:ascii="Open Sans" w:eastAsia="Times New Roman" w:hAnsi="Open Sans" w:cs="Open Sans"/>
          <w:color w:val="30383C"/>
          <w:kern w:val="0"/>
          <w:sz w:val="29"/>
          <w:szCs w:val="29"/>
          <w:lang w:val="nb-NO" w:eastAsia="es-PE"/>
          <w14:ligatures w14:val="none"/>
        </w:rPr>
      </w:pPr>
      <w:r w:rsidRPr="00C555F1">
        <w:rPr>
          <w:rFonts w:ascii="Open Sans" w:eastAsia="Times New Roman" w:hAnsi="Open Sans" w:cs="Open Sans"/>
          <w:color w:val="30383C"/>
          <w:kern w:val="0"/>
          <w:sz w:val="29"/>
          <w:szCs w:val="29"/>
          <w:lang w:val="nb-NO" w:eastAsia="es-PE"/>
          <w14:ligatures w14:val="none"/>
        </w:rPr>
        <w:t> </w:t>
      </w:r>
    </w:p>
    <w:p w14:paraId="09780F04" w14:textId="77777777" w:rsidR="00C555F1" w:rsidRPr="00C555F1" w:rsidRDefault="00C555F1" w:rsidP="00C555F1">
      <w:pPr>
        <w:spacing w:before="100" w:beforeAutospacing="1" w:after="100" w:afterAutospacing="1" w:line="420" w:lineRule="atLeast"/>
        <w:rPr>
          <w:rFonts w:ascii="Open Sans" w:eastAsia="Times New Roman" w:hAnsi="Open Sans" w:cs="Open Sans"/>
          <w:color w:val="30383C"/>
          <w:kern w:val="0"/>
          <w:sz w:val="29"/>
          <w:szCs w:val="29"/>
          <w:lang w:eastAsia="es-PE"/>
          <w14:ligatures w14:val="none"/>
        </w:rPr>
      </w:pPr>
      <w:r w:rsidRPr="00C555F1">
        <w:rPr>
          <w:rFonts w:ascii="Open Sans" w:eastAsia="Times New Roman" w:hAnsi="Open Sans" w:cs="Open Sans"/>
          <w:color w:val="30383C"/>
          <w:kern w:val="0"/>
          <w:sz w:val="29"/>
          <w:szCs w:val="29"/>
          <w:lang w:val="nb-NO" w:eastAsia="es-PE"/>
          <w14:ligatures w14:val="none"/>
        </w:rPr>
        <w:t>*</w:t>
      </w:r>
      <w:proofErr w:type="spellStart"/>
      <w:r w:rsidRPr="00C555F1">
        <w:rPr>
          <w:rFonts w:ascii="Open Sans" w:eastAsia="Times New Roman" w:hAnsi="Open Sans" w:cs="Open Sans"/>
          <w:i/>
          <w:iCs/>
          <w:color w:val="30383C"/>
          <w:kern w:val="0"/>
          <w:sz w:val="29"/>
          <w:szCs w:val="29"/>
          <w:lang w:val="nb-NO" w:eastAsia="es-PE"/>
          <w14:ligatures w14:val="none"/>
        </w:rPr>
        <w:t>Glencross</w:t>
      </w:r>
      <w:proofErr w:type="spellEnd"/>
      <w:r w:rsidRPr="00C555F1">
        <w:rPr>
          <w:rFonts w:ascii="Open Sans" w:eastAsia="Times New Roman" w:hAnsi="Open Sans" w:cs="Open Sans"/>
          <w:i/>
          <w:iCs/>
          <w:color w:val="30383C"/>
          <w:kern w:val="0"/>
          <w:sz w:val="29"/>
          <w:szCs w:val="29"/>
          <w:lang w:val="nb-NO" w:eastAsia="es-PE"/>
          <w14:ligatures w14:val="none"/>
        </w:rPr>
        <w:t xml:space="preserve">, B., Ling, </w:t>
      </w:r>
      <w:proofErr w:type="spellStart"/>
      <w:r w:rsidRPr="00C555F1">
        <w:rPr>
          <w:rFonts w:ascii="Open Sans" w:eastAsia="Times New Roman" w:hAnsi="Open Sans" w:cs="Open Sans"/>
          <w:i/>
          <w:iCs/>
          <w:color w:val="30383C"/>
          <w:kern w:val="0"/>
          <w:sz w:val="29"/>
          <w:szCs w:val="29"/>
          <w:lang w:val="nb-NO" w:eastAsia="es-PE"/>
          <w14:ligatures w14:val="none"/>
        </w:rPr>
        <w:t>X</w:t>
      </w:r>
      <w:proofErr w:type="spellEnd"/>
      <w:r w:rsidRPr="00C555F1">
        <w:rPr>
          <w:rFonts w:ascii="Open Sans" w:eastAsia="Times New Roman" w:hAnsi="Open Sans" w:cs="Open Sans"/>
          <w:i/>
          <w:iCs/>
          <w:color w:val="30383C"/>
          <w:kern w:val="0"/>
          <w:sz w:val="29"/>
          <w:szCs w:val="29"/>
          <w:lang w:val="nb-NO" w:eastAsia="es-PE"/>
          <w14:ligatures w14:val="none"/>
        </w:rPr>
        <w:t xml:space="preserve">., Gatlin, D., </w:t>
      </w:r>
      <w:proofErr w:type="spellStart"/>
      <w:r w:rsidRPr="00C555F1">
        <w:rPr>
          <w:rFonts w:ascii="Open Sans" w:eastAsia="Times New Roman" w:hAnsi="Open Sans" w:cs="Open Sans"/>
          <w:i/>
          <w:iCs/>
          <w:color w:val="30383C"/>
          <w:kern w:val="0"/>
          <w:sz w:val="29"/>
          <w:szCs w:val="29"/>
          <w:lang w:val="nb-NO" w:eastAsia="es-PE"/>
          <w14:ligatures w14:val="none"/>
        </w:rPr>
        <w:t>Kaushik</w:t>
      </w:r>
      <w:proofErr w:type="spellEnd"/>
      <w:r w:rsidRPr="00C555F1">
        <w:rPr>
          <w:rFonts w:ascii="Open Sans" w:eastAsia="Times New Roman" w:hAnsi="Open Sans" w:cs="Open Sans"/>
          <w:i/>
          <w:iCs/>
          <w:color w:val="30383C"/>
          <w:kern w:val="0"/>
          <w:sz w:val="29"/>
          <w:szCs w:val="29"/>
          <w:lang w:val="nb-NO" w:eastAsia="es-PE"/>
          <w14:ligatures w14:val="none"/>
        </w:rPr>
        <w:t xml:space="preserve">, S., Øverland, M., Newton, R., &amp; Valente, L. M. (2024). </w:t>
      </w:r>
      <w:r w:rsidRPr="00C555F1">
        <w:rPr>
          <w:rFonts w:ascii="Open Sans" w:eastAsia="Times New Roman" w:hAnsi="Open Sans" w:cs="Open Sans"/>
          <w:i/>
          <w:iCs/>
          <w:color w:val="30383C"/>
          <w:kern w:val="0"/>
          <w:sz w:val="29"/>
          <w:szCs w:val="29"/>
          <w:lang w:val="en-US" w:eastAsia="es-PE"/>
          <w14:ligatures w14:val="none"/>
        </w:rPr>
        <w:t xml:space="preserve">A SWOT Analysis of the Use of Marine, Grain, Terrestrial-Animal and Novel Protein Ingredients in Aquaculture Feeds. </w:t>
      </w:r>
      <w:proofErr w:type="spellStart"/>
      <w:r w:rsidRPr="00C555F1">
        <w:rPr>
          <w:rFonts w:ascii="Open Sans" w:eastAsia="Times New Roman" w:hAnsi="Open Sans" w:cs="Open Sans"/>
          <w:i/>
          <w:iCs/>
          <w:color w:val="30383C"/>
          <w:kern w:val="0"/>
          <w:sz w:val="29"/>
          <w:szCs w:val="29"/>
          <w:lang w:eastAsia="es-PE"/>
          <w14:ligatures w14:val="none"/>
        </w:rPr>
        <w:t>Reviews</w:t>
      </w:r>
      <w:proofErr w:type="spellEnd"/>
      <w:r w:rsidRPr="00C555F1">
        <w:rPr>
          <w:rFonts w:ascii="Open Sans" w:eastAsia="Times New Roman" w:hAnsi="Open Sans" w:cs="Open Sans"/>
          <w:i/>
          <w:iCs/>
          <w:color w:val="30383C"/>
          <w:kern w:val="0"/>
          <w:sz w:val="29"/>
          <w:szCs w:val="29"/>
          <w:lang w:eastAsia="es-PE"/>
          <w14:ligatures w14:val="none"/>
        </w:rPr>
        <w:t xml:space="preserve"> in </w:t>
      </w:r>
      <w:proofErr w:type="spellStart"/>
      <w:r w:rsidRPr="00C555F1">
        <w:rPr>
          <w:rFonts w:ascii="Open Sans" w:eastAsia="Times New Roman" w:hAnsi="Open Sans" w:cs="Open Sans"/>
          <w:i/>
          <w:iCs/>
          <w:color w:val="30383C"/>
          <w:kern w:val="0"/>
          <w:sz w:val="29"/>
          <w:szCs w:val="29"/>
          <w:lang w:eastAsia="es-PE"/>
          <w14:ligatures w14:val="none"/>
        </w:rPr>
        <w:t>Fisheries</w:t>
      </w:r>
      <w:proofErr w:type="spellEnd"/>
      <w:r w:rsidRPr="00C555F1">
        <w:rPr>
          <w:rFonts w:ascii="Open Sans" w:eastAsia="Times New Roman" w:hAnsi="Open Sans" w:cs="Open Sans"/>
          <w:i/>
          <w:iCs/>
          <w:color w:val="30383C"/>
          <w:kern w:val="0"/>
          <w:sz w:val="29"/>
          <w:szCs w:val="29"/>
          <w:lang w:eastAsia="es-PE"/>
          <w14:ligatures w14:val="none"/>
        </w:rPr>
        <w:t xml:space="preserve"> Science &amp; Aquaculture, 1-39. </w:t>
      </w:r>
      <w:hyperlink r:id="rId8" w:history="1">
        <w:r w:rsidRPr="00C555F1">
          <w:rPr>
            <w:rFonts w:ascii="Open Sans" w:eastAsia="Times New Roman" w:hAnsi="Open Sans" w:cs="Open Sans"/>
            <w:i/>
            <w:iCs/>
            <w:color w:val="1E88B5"/>
            <w:kern w:val="0"/>
            <w:sz w:val="29"/>
            <w:szCs w:val="29"/>
            <w:lang w:eastAsia="es-PE"/>
            <w14:ligatures w14:val="none"/>
          </w:rPr>
          <w:t>https://doi.org/10.1080/23308249.2024.2315049</w:t>
        </w:r>
      </w:hyperlink>
    </w:p>
    <w:p w14:paraId="3A16D225" w14:textId="77777777" w:rsidR="00727119" w:rsidRDefault="00727119"/>
    <w:sectPr w:rsidR="00727119" w:rsidSect="002425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50648A"/>
    <w:multiLevelType w:val="multilevel"/>
    <w:tmpl w:val="AD562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970BC5"/>
    <w:multiLevelType w:val="multilevel"/>
    <w:tmpl w:val="8E943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3358034">
    <w:abstractNumId w:val="1"/>
  </w:num>
  <w:num w:numId="2" w16cid:durableId="1667367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5F1"/>
    <w:rsid w:val="00242567"/>
    <w:rsid w:val="00357047"/>
    <w:rsid w:val="00727119"/>
    <w:rsid w:val="00A569D9"/>
    <w:rsid w:val="00C555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4375A"/>
  <w15:chartTrackingRefBased/>
  <w15:docId w15:val="{2C7DC1C3-B736-4973-B38D-6B46AEBA0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555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555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555F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555F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555F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555F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555F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555F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555F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555F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555F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555F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555F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555F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555F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555F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555F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555F1"/>
    <w:rPr>
      <w:rFonts w:eastAsiaTheme="majorEastAsia" w:cstheme="majorBidi"/>
      <w:color w:val="272727" w:themeColor="text1" w:themeTint="D8"/>
    </w:rPr>
  </w:style>
  <w:style w:type="paragraph" w:styleId="Ttulo">
    <w:name w:val="Title"/>
    <w:basedOn w:val="Normal"/>
    <w:next w:val="Normal"/>
    <w:link w:val="TtuloCar"/>
    <w:uiPriority w:val="10"/>
    <w:qFormat/>
    <w:rsid w:val="00C555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555F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555F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555F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555F1"/>
    <w:pPr>
      <w:spacing w:before="160"/>
      <w:jc w:val="center"/>
    </w:pPr>
    <w:rPr>
      <w:i/>
      <w:iCs/>
      <w:color w:val="404040" w:themeColor="text1" w:themeTint="BF"/>
    </w:rPr>
  </w:style>
  <w:style w:type="character" w:customStyle="1" w:styleId="CitaCar">
    <w:name w:val="Cita Car"/>
    <w:basedOn w:val="Fuentedeprrafopredeter"/>
    <w:link w:val="Cita"/>
    <w:uiPriority w:val="29"/>
    <w:rsid w:val="00C555F1"/>
    <w:rPr>
      <w:i/>
      <w:iCs/>
      <w:color w:val="404040" w:themeColor="text1" w:themeTint="BF"/>
    </w:rPr>
  </w:style>
  <w:style w:type="paragraph" w:styleId="Prrafodelista">
    <w:name w:val="List Paragraph"/>
    <w:basedOn w:val="Normal"/>
    <w:uiPriority w:val="34"/>
    <w:qFormat/>
    <w:rsid w:val="00C555F1"/>
    <w:pPr>
      <w:ind w:left="720"/>
      <w:contextualSpacing/>
    </w:pPr>
  </w:style>
  <w:style w:type="character" w:styleId="nfasisintenso">
    <w:name w:val="Intense Emphasis"/>
    <w:basedOn w:val="Fuentedeprrafopredeter"/>
    <w:uiPriority w:val="21"/>
    <w:qFormat/>
    <w:rsid w:val="00C555F1"/>
    <w:rPr>
      <w:i/>
      <w:iCs/>
      <w:color w:val="0F4761" w:themeColor="accent1" w:themeShade="BF"/>
    </w:rPr>
  </w:style>
  <w:style w:type="paragraph" w:styleId="Citadestacada">
    <w:name w:val="Intense Quote"/>
    <w:basedOn w:val="Normal"/>
    <w:next w:val="Normal"/>
    <w:link w:val="CitadestacadaCar"/>
    <w:uiPriority w:val="30"/>
    <w:qFormat/>
    <w:rsid w:val="00C555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555F1"/>
    <w:rPr>
      <w:i/>
      <w:iCs/>
      <w:color w:val="0F4761" w:themeColor="accent1" w:themeShade="BF"/>
    </w:rPr>
  </w:style>
  <w:style w:type="character" w:styleId="Referenciaintensa">
    <w:name w:val="Intense Reference"/>
    <w:basedOn w:val="Fuentedeprrafopredeter"/>
    <w:uiPriority w:val="32"/>
    <w:qFormat/>
    <w:rsid w:val="00C555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5609364">
      <w:bodyDiv w:val="1"/>
      <w:marLeft w:val="0"/>
      <w:marRight w:val="0"/>
      <w:marTop w:val="0"/>
      <w:marBottom w:val="0"/>
      <w:divBdr>
        <w:top w:val="none" w:sz="0" w:space="0" w:color="auto"/>
        <w:left w:val="none" w:sz="0" w:space="0" w:color="auto"/>
        <w:bottom w:val="none" w:sz="0" w:space="0" w:color="auto"/>
        <w:right w:val="none" w:sz="0" w:space="0" w:color="auto"/>
      </w:divBdr>
      <w:divsChild>
        <w:div w:id="1263607684">
          <w:marLeft w:val="0"/>
          <w:marRight w:val="0"/>
          <w:marTop w:val="0"/>
          <w:marBottom w:val="0"/>
          <w:divBdr>
            <w:top w:val="none" w:sz="0" w:space="0" w:color="auto"/>
            <w:left w:val="none" w:sz="0" w:space="0" w:color="auto"/>
            <w:bottom w:val="none" w:sz="0" w:space="0" w:color="auto"/>
            <w:right w:val="none" w:sz="0" w:space="0" w:color="auto"/>
          </w:divBdr>
          <w:divsChild>
            <w:div w:id="871381104">
              <w:marLeft w:val="0"/>
              <w:marRight w:val="0"/>
              <w:marTop w:val="0"/>
              <w:marBottom w:val="0"/>
              <w:divBdr>
                <w:top w:val="none" w:sz="0" w:space="0" w:color="auto"/>
                <w:left w:val="none" w:sz="0" w:space="0" w:color="auto"/>
                <w:bottom w:val="none" w:sz="0" w:space="0" w:color="auto"/>
                <w:right w:val="none" w:sz="0" w:space="0" w:color="auto"/>
              </w:divBdr>
              <w:divsChild>
                <w:div w:id="176904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89915">
          <w:marLeft w:val="0"/>
          <w:marRight w:val="0"/>
          <w:marTop w:val="0"/>
          <w:marBottom w:val="0"/>
          <w:divBdr>
            <w:top w:val="none" w:sz="0" w:space="0" w:color="auto"/>
            <w:left w:val="none" w:sz="0" w:space="0" w:color="auto"/>
            <w:bottom w:val="none" w:sz="0" w:space="0" w:color="auto"/>
            <w:right w:val="none" w:sz="0" w:space="0" w:color="auto"/>
          </w:divBdr>
          <w:divsChild>
            <w:div w:id="123936568">
              <w:marLeft w:val="0"/>
              <w:marRight w:val="0"/>
              <w:marTop w:val="0"/>
              <w:marBottom w:val="0"/>
              <w:divBdr>
                <w:top w:val="none" w:sz="0" w:space="0" w:color="auto"/>
                <w:left w:val="none" w:sz="0" w:space="0" w:color="auto"/>
                <w:bottom w:val="none" w:sz="0" w:space="0" w:color="auto"/>
                <w:right w:val="none" w:sz="0" w:space="0" w:color="auto"/>
              </w:divBdr>
              <w:divsChild>
                <w:div w:id="76706515">
                  <w:marLeft w:val="0"/>
                  <w:marRight w:val="0"/>
                  <w:marTop w:val="0"/>
                  <w:marBottom w:val="450"/>
                  <w:divBdr>
                    <w:top w:val="none" w:sz="0" w:space="0" w:color="auto"/>
                    <w:left w:val="none" w:sz="0" w:space="0" w:color="auto"/>
                    <w:bottom w:val="none" w:sz="0" w:space="0" w:color="auto"/>
                    <w:right w:val="none" w:sz="0" w:space="0" w:color="auto"/>
                  </w:divBdr>
                  <w:divsChild>
                    <w:div w:id="516308467">
                      <w:marLeft w:val="0"/>
                      <w:marRight w:val="0"/>
                      <w:marTop w:val="0"/>
                      <w:marBottom w:val="0"/>
                      <w:divBdr>
                        <w:top w:val="none" w:sz="0" w:space="0" w:color="auto"/>
                        <w:left w:val="none" w:sz="0" w:space="0" w:color="auto"/>
                        <w:bottom w:val="none" w:sz="0" w:space="0" w:color="auto"/>
                        <w:right w:val="none" w:sz="0" w:space="0" w:color="auto"/>
                      </w:divBdr>
                    </w:div>
                    <w:div w:id="849107050">
                      <w:marLeft w:val="0"/>
                      <w:marRight w:val="0"/>
                      <w:marTop w:val="0"/>
                      <w:marBottom w:val="0"/>
                      <w:divBdr>
                        <w:top w:val="none" w:sz="0" w:space="0" w:color="auto"/>
                        <w:left w:val="none" w:sz="0" w:space="0" w:color="auto"/>
                        <w:bottom w:val="none" w:sz="0" w:space="0" w:color="auto"/>
                        <w:right w:val="none" w:sz="0" w:space="0" w:color="auto"/>
                      </w:divBdr>
                    </w:div>
                  </w:divsChild>
                </w:div>
                <w:div w:id="1536195116">
                  <w:marLeft w:val="0"/>
                  <w:marRight w:val="0"/>
                  <w:marTop w:val="0"/>
                  <w:marBottom w:val="0"/>
                  <w:divBdr>
                    <w:top w:val="none" w:sz="0" w:space="0" w:color="auto"/>
                    <w:left w:val="none" w:sz="0" w:space="0" w:color="auto"/>
                    <w:bottom w:val="none" w:sz="0" w:space="0" w:color="auto"/>
                    <w:right w:val="none" w:sz="0" w:space="0" w:color="auto"/>
                  </w:divBdr>
                  <w:divsChild>
                    <w:div w:id="1434131080">
                      <w:marLeft w:val="0"/>
                      <w:marRight w:val="0"/>
                      <w:marTop w:val="0"/>
                      <w:marBottom w:val="0"/>
                      <w:divBdr>
                        <w:top w:val="none" w:sz="0" w:space="0" w:color="auto"/>
                        <w:left w:val="none" w:sz="0" w:space="0" w:color="auto"/>
                        <w:bottom w:val="none" w:sz="0" w:space="0" w:color="auto"/>
                        <w:right w:val="none" w:sz="0" w:space="0" w:color="auto"/>
                      </w:divBdr>
                      <w:divsChild>
                        <w:div w:id="1327708823">
                          <w:marLeft w:val="0"/>
                          <w:marRight w:val="0"/>
                          <w:marTop w:val="0"/>
                          <w:marBottom w:val="0"/>
                          <w:divBdr>
                            <w:top w:val="none" w:sz="0" w:space="0" w:color="auto"/>
                            <w:left w:val="none" w:sz="0" w:space="0" w:color="auto"/>
                            <w:bottom w:val="none" w:sz="0" w:space="0" w:color="auto"/>
                            <w:right w:val="none" w:sz="0" w:space="0" w:color="auto"/>
                          </w:divBdr>
                          <w:divsChild>
                            <w:div w:id="568199818">
                              <w:marLeft w:val="0"/>
                              <w:marRight w:val="0"/>
                              <w:marTop w:val="0"/>
                              <w:marBottom w:val="0"/>
                              <w:divBdr>
                                <w:top w:val="none" w:sz="0" w:space="0" w:color="auto"/>
                                <w:left w:val="none" w:sz="0" w:space="0" w:color="auto"/>
                                <w:bottom w:val="none" w:sz="0" w:space="0" w:color="auto"/>
                                <w:right w:val="none" w:sz="0" w:space="0" w:color="auto"/>
                              </w:divBdr>
                              <w:divsChild>
                                <w:div w:id="1629624259">
                                  <w:marLeft w:val="1045"/>
                                  <w:marRight w:val="0"/>
                                  <w:marTop w:val="0"/>
                                  <w:marBottom w:val="0"/>
                                  <w:divBdr>
                                    <w:top w:val="none" w:sz="0" w:space="0" w:color="auto"/>
                                    <w:left w:val="none" w:sz="0" w:space="0" w:color="auto"/>
                                    <w:bottom w:val="none" w:sz="0" w:space="0" w:color="auto"/>
                                    <w:right w:val="none" w:sz="0" w:space="0" w:color="auto"/>
                                  </w:divBdr>
                                  <w:divsChild>
                                    <w:div w:id="20556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23308249.2024.2315049"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tandfonline.com/doi/full/10.1080/23308249.2024.231504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486</Words>
  <Characters>2675</Characters>
  <Application>Microsoft Office Word</Application>
  <DocSecurity>0</DocSecurity>
  <Lines>22</Lines>
  <Paragraphs>6</Paragraphs>
  <ScaleCrop>false</ScaleCrop>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TALAVERA</dc:creator>
  <cp:keywords/>
  <dc:description/>
  <cp:lastModifiedBy>VICTOR TALAVERA</cp:lastModifiedBy>
  <cp:revision>1</cp:revision>
  <dcterms:created xsi:type="dcterms:W3CDTF">2024-04-08T01:57:00Z</dcterms:created>
  <dcterms:modified xsi:type="dcterms:W3CDTF">2024-04-08T02:02:00Z</dcterms:modified>
</cp:coreProperties>
</file>